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4"/>
          <w:szCs w:val="24"/>
          <w:rtl w:val="0"/>
        </w:rPr>
        <w:t xml:space="preserve">  TÉMATICKÝ, časový plá</w:t>
      </w:r>
      <w:r w:rsidDel="00000000" w:rsidR="00000000" w:rsidRPr="00000000">
        <w:rPr>
          <w:sz w:val="24"/>
          <w:szCs w:val="24"/>
          <w:rtl w:val="0"/>
        </w:rPr>
        <w:t xml:space="preserve">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                                                 vyučovací předmět: HUDEBNÍ VÝCHOVA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3. ročník</w:t>
      </w:r>
    </w:p>
    <w:tbl>
      <w:tblPr>
        <w:tblStyle w:val="Table1"/>
        <w:tblW w:w="11018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70"/>
        <w:gridCol w:w="3780"/>
        <w:gridCol w:w="2417"/>
        <w:gridCol w:w="1723"/>
        <w:gridCol w:w="1228"/>
        <w:tblGridChange w:id="0">
          <w:tblGrid>
            <w:gridCol w:w="1870"/>
            <w:gridCol w:w="3780"/>
            <w:gridCol w:w="2417"/>
            <w:gridCol w:w="1723"/>
            <w:gridCol w:w="12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(výstupy)</w:t>
            </w:r>
          </w:p>
        </w:tc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(konkretizované učivo)</w:t>
            </w:r>
          </w:p>
        </w:tc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Zaměření na rozvoj klíčových kompetencí</w:t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VÝCHOVNĚ VZDĚLÁVACÍ STRATEGIE</w:t>
            </w:r>
          </w:p>
        </w:tc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PRŮŘEZOVÁ TÉMATA</w:t>
            </w:r>
          </w:p>
        </w:tc>
      </w:tr>
    </w:tbl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40.0" w:type="dxa"/>
        <w:jc w:val="left"/>
        <w:tblInd w:w="2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90"/>
        <w:gridCol w:w="3780"/>
        <w:gridCol w:w="2415"/>
        <w:gridCol w:w="1725"/>
        <w:gridCol w:w="1230"/>
        <w:tblGridChange w:id="0">
          <w:tblGrid>
            <w:gridCol w:w="1890"/>
            <w:gridCol w:w="3780"/>
            <w:gridCol w:w="2415"/>
            <w:gridCol w:w="1725"/>
            <w:gridCol w:w="1230"/>
          </w:tblGrid>
        </w:tblGridChange>
      </w:tblGrid>
      <w:tr>
        <w:trPr>
          <w:cantSplit w:val="0"/>
          <w:trHeight w:val="521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-žák využívá správné pěvecké návyky a dovednosti 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zpívá v jednohlase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žák podle svých schopností intonuje jednoduchou píseň 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zpívá v jednohlase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rytmizuje a melodizuje jednoduché texty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žák vnímá dvojhlasý zpěv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žák se orientuje v notovém zápisu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zpívá v jednohlase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žák pozná noty v jednočárkované oktávě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zpívá v jednohlase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využívá jednoduché hudební nástroje k doprovodné hře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žák rozliší 2/4 a ¾ takt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zpívá v jednohlase</w:t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reaguje pohybem na znějící hudbu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žák doprovází zpěv na jednoduchý rytmický nástroj</w:t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rytmizuje a melodizuje jednoduché texty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zpívá v jednohlase</w:t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pohybem vyjadřuje metrum, tempo, dynamiku, směr melodie</w:t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žák rozvíjí své poslechové dovednosti</w:t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zpívá v jednohlase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rozlišuje jednotlivé kvality tónů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žák prohlubuje poznávání hudebních žánrů</w:t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Rule="auto"/>
              <w:ind w:left="170" w:right="113" w:hanging="397"/>
              <w:rPr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pohybem vyjadřuje metrum, tempo, dynamiku, směr melodie</w:t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zpívá v jednohlase</w:t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Rule="auto"/>
              <w:ind w:left="170" w:right="113" w:hanging="397"/>
              <w:rPr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rozlišuje jednotlivé kvality tónů, rozpozná výrazné tempové a dynamické změny v proudu znějící hudby</w:t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žák se seznamuje s vážnou i populární hudbou</w:t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Rule="auto"/>
              <w:ind w:left="170" w:right="113" w:hanging="397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zpívá v jednohlase</w:t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rozpozná v proudu znějící hudby některé hudební nástroje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žák zvládá základní pravidla společenského chování při kulturních akcích</w:t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zpívá v jednohlase</w:t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odliší hudbu vokální, instrumentální a vokálně instrumentální</w:t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u w:val="single"/>
                <w:rtl w:val="0"/>
              </w:rPr>
              <w:t xml:space="preserve">Písně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zpěv písní dle výběru učitele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přiměřených věku a hlasovému rozsahu žáků</w:t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doprovází písně pohybem</w:t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u w:val="single"/>
                <w:rtl w:val="0"/>
              </w:rPr>
              <w:t xml:space="preserve">Poslech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poslech skladeb dle výběru učitele (např. Ilja Hurník – Kolovrátek, A. Weber – 6 orchestrálních kusů)</w:t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u w:val="single"/>
                <w:rtl w:val="0"/>
              </w:rPr>
              <w:t xml:space="preserve">Hudební teorie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OPAKOVÁNÍ:</w:t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     - rytmus,  dynamika                                                                          (p,mf,f)  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     - nota osminová</w:t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     - notová osnova</w:t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    - hudební abeceda – noty c1,d1,       e1, f1, g1, a1</w:t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    - taktová čára</w:t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rozvážně - živě</w:t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dýchání (v pauze mezi frázemi)</w:t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význam hudby – hudba slavnostní, slavnostní pochody, fanfáry        </w:t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0121.0" w:type="dxa"/>
              <w:jc w:val="left"/>
              <w:tblLayout w:type="fixed"/>
              <w:tblLook w:val="0000"/>
            </w:tblPr>
            <w:tblGrid>
              <w:gridCol w:w="5205"/>
              <w:gridCol w:w="2718"/>
              <w:gridCol w:w="2198"/>
              <w:tblGridChange w:id="0">
                <w:tblGrid>
                  <w:gridCol w:w="5205"/>
                  <w:gridCol w:w="2718"/>
                  <w:gridCol w:w="219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ffffff" w:val="clear"/>
                  <w:tcMar>
                    <w:top w:w="15.0" w:type="dxa"/>
                    <w:left w:w="15.0" w:type="dxa"/>
                    <w:bottom w:w="15.0" w:type="dxa"/>
                    <w:right w:w="15.0" w:type="dxa"/>
                  </w:tcMar>
                </w:tcPr>
                <w:p w:rsidR="00000000" w:rsidDel="00000000" w:rsidP="00000000" w:rsidRDefault="00000000" w:rsidRPr="00000000" w14:paraId="000000A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Arial" w:cs="Arial" w:eastAsia="Arial" w:hAnsi="Arial"/>
                      <w:color w:val="ff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tcMar>
                    <w:top w:w="15.0" w:type="dxa"/>
                    <w:left w:w="15.0" w:type="dxa"/>
                    <w:bottom w:w="15.0" w:type="dxa"/>
                    <w:right w:w="15.0" w:type="dxa"/>
                  </w:tcMar>
                </w:tcPr>
                <w:p w:rsidR="00000000" w:rsidDel="00000000" w:rsidP="00000000" w:rsidRDefault="00000000" w:rsidRPr="00000000" w14:paraId="000000B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Arial" w:cs="Arial" w:eastAsia="Arial" w:hAnsi="Arial"/>
                      <w:color w:val="ff000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tcMar>
                    <w:top w:w="15.0" w:type="dxa"/>
                    <w:left w:w="15.0" w:type="dxa"/>
                    <w:bottom w:w="15.0" w:type="dxa"/>
                    <w:right w:w="15.0" w:type="dxa"/>
                  </w:tcMar>
                </w:tcPr>
                <w:p w:rsidR="00000000" w:rsidDel="00000000" w:rsidP="00000000" w:rsidRDefault="00000000" w:rsidRPr="00000000" w14:paraId="000000B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Arial" w:cs="Arial" w:eastAsia="Arial" w:hAnsi="Arial"/>
                      <w:color w:val="ff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shd w:fill="ffffff" w:val="clear"/>
                  <w:tcMar>
                    <w:top w:w="15.0" w:type="dxa"/>
                    <w:left w:w="15.0" w:type="dxa"/>
                    <w:bottom w:w="15.0" w:type="dxa"/>
                    <w:right w:w="15.0" w:type="dxa"/>
                  </w:tcMar>
                </w:tcPr>
                <w:p w:rsidR="00000000" w:rsidDel="00000000" w:rsidP="00000000" w:rsidRDefault="00000000" w:rsidRPr="00000000" w14:paraId="000000B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Arial" w:cs="Arial" w:eastAsia="Arial" w:hAnsi="Arial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tcMar>
                    <w:top w:w="15.0" w:type="dxa"/>
                    <w:left w:w="15.0" w:type="dxa"/>
                    <w:bottom w:w="15.0" w:type="dxa"/>
                    <w:right w:w="15.0" w:type="dxa"/>
                  </w:tcMar>
                </w:tcPr>
                <w:p w:rsidR="00000000" w:rsidDel="00000000" w:rsidP="00000000" w:rsidRDefault="00000000" w:rsidRPr="00000000" w14:paraId="000000B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Arial" w:cs="Arial" w:eastAsia="Arial" w:hAnsi="Arial"/>
                      <w:color w:val="ff000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3"/>
                  <w:shd w:fill="ffffff" w:val="clear"/>
                  <w:tcMar>
                    <w:top w:w="15.0" w:type="dxa"/>
                    <w:left w:w="15.0" w:type="dxa"/>
                    <w:bottom w:w="15.0" w:type="dxa"/>
                    <w:right w:w="15.0" w:type="dxa"/>
                  </w:tcMar>
                </w:tcPr>
                <w:p w:rsidR="00000000" w:rsidDel="00000000" w:rsidP="00000000" w:rsidRDefault="00000000" w:rsidRPr="00000000" w14:paraId="000000B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Arial" w:cs="Arial" w:eastAsia="Arial" w:hAnsi="Arial"/>
                      <w:color w:val="ff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fffff" w:val="clear"/>
                  <w:tcMar>
                    <w:top w:w="15.0" w:type="dxa"/>
                    <w:left w:w="15.0" w:type="dxa"/>
                    <w:bottom w:w="15.0" w:type="dxa"/>
                    <w:right w:w="15.0" w:type="dxa"/>
                  </w:tcMar>
                </w:tcPr>
                <w:p w:rsidR="00000000" w:rsidDel="00000000" w:rsidP="00000000" w:rsidRDefault="00000000" w:rsidRPr="00000000" w14:paraId="000000B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Arial" w:cs="Arial" w:eastAsia="Arial" w:hAnsi="Arial"/>
                      <w:color w:val="ff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shd w:fill="ffffff" w:val="clear"/>
                  <w:tcMar>
                    <w:top w:w="15.0" w:type="dxa"/>
                    <w:left w:w="15.0" w:type="dxa"/>
                    <w:bottom w:w="15.0" w:type="dxa"/>
                    <w:right w:w="15.0" w:type="dxa"/>
                  </w:tcMar>
                </w:tcPr>
                <w:p w:rsidR="00000000" w:rsidDel="00000000" w:rsidP="00000000" w:rsidRDefault="00000000" w:rsidRPr="00000000" w14:paraId="000000B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Arial" w:cs="Arial" w:eastAsia="Arial" w:hAnsi="Arial"/>
                      <w:color w:val="ff000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                </w:t>
            </w:r>
          </w:p>
          <w:p w:rsidR="00000000" w:rsidDel="00000000" w:rsidP="00000000" w:rsidRDefault="00000000" w:rsidRPr="00000000" w14:paraId="000000BC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ŘÍJEN</w:t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u w:val="single"/>
                <w:rtl w:val="0"/>
              </w:rPr>
              <w:t xml:space="preserve">Písně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zpěv písní dle výběru učitele přiměřených věku a hlasovému rozsahu žáků</w:t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doprovází písně hrou na tělo</w:t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u w:val="single"/>
                <w:rtl w:val="0"/>
              </w:rPr>
              <w:t xml:space="preserve">Poslech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poslech skladeb dle výběru učitele</w:t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(např. L. Mozart: Dětská symfonie)</w:t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u w:val="single"/>
                <w:rtl w:val="0"/>
              </w:rPr>
              <w:t xml:space="preserve">Hudební teorie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charakter melodie – postupující v krocích a skocích, melodie lomená </w:t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pěvecké dělení slov</w:t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orchestr – sólo, hudební – nástroje</w:t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hudební abeceda – noty h1, c2</w:t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                     </w:t>
            </w:r>
          </w:p>
          <w:p w:rsidR="00000000" w:rsidDel="00000000" w:rsidP="00000000" w:rsidRDefault="00000000" w:rsidRPr="00000000" w14:paraId="000000CD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LISTOPAD</w:t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u w:val="single"/>
                <w:rtl w:val="0"/>
              </w:rPr>
              <w:t xml:space="preserve">Písně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zpěv písní dle výběru učitele přiměřených věku a hlasovému rozsahu žáků</w:t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doprovází písně hrou na dětské rytmické hudební nástroje </w:t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u w:val="single"/>
                <w:rtl w:val="0"/>
              </w:rPr>
              <w:t xml:space="preserve">Poslech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poslech skladeb dle výběru učitele (např. P. Jurkovič – Ptačí koncert, J. S. Bach – Mše H moll, zpěv Louise Amstronga)</w:t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u w:val="single"/>
                <w:rtl w:val="0"/>
              </w:rPr>
              <w:t xml:space="preserve">Hudební teorie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takt 4/4</w:t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pohybové vyjádření melodie, jejího charakteru, tempa, dynamiky, emoc. zážitků</w:t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hudební abeceda – noty c1,d1, e1, f1, g1, a1, h1, c2</w:t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kánon             </w:t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seznamuje se s druhy pomlk            </w:t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PROSINEC</w:t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u w:val="single"/>
                <w:rtl w:val="0"/>
              </w:rPr>
              <w:t xml:space="preserve">Písně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zpěv vánočních písní dle výběru učitele přiměřených věku a hlasovému rozsahu žáků</w:t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u w:val="single"/>
                <w:rtl w:val="0"/>
              </w:rPr>
              <w:t xml:space="preserve">Poslech: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poslech skladeb dle výběru učitele (např. G. Zrunek – Vánoční mše, vánoční koledy)</w:t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u w:val="single"/>
                <w:rtl w:val="0"/>
              </w:rPr>
              <w:t xml:space="preserve">Hudební teorie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pomlka celá</w:t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rozlišování hry na violoncello, akordeon, lesní roh, tubu, cembalo, činely</w:t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10121.0" w:type="dxa"/>
              <w:jc w:val="left"/>
              <w:tblLayout w:type="fixed"/>
              <w:tblLook w:val="0000"/>
            </w:tblPr>
            <w:tblGrid>
              <w:gridCol w:w="4904"/>
              <w:gridCol w:w="2792"/>
              <w:gridCol w:w="2425"/>
              <w:tblGridChange w:id="0">
                <w:tblGrid>
                  <w:gridCol w:w="4904"/>
                  <w:gridCol w:w="2792"/>
                  <w:gridCol w:w="242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ffffff" w:val="clear"/>
                  <w:tcMar>
                    <w:top w:w="15.0" w:type="dxa"/>
                    <w:left w:w="15.0" w:type="dxa"/>
                    <w:bottom w:w="15.0" w:type="dxa"/>
                    <w:right w:w="15.0" w:type="dxa"/>
                  </w:tcMar>
                </w:tcPr>
                <w:p w:rsidR="00000000" w:rsidDel="00000000" w:rsidP="00000000" w:rsidRDefault="00000000" w:rsidRPr="00000000" w14:paraId="000000E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Arial" w:cs="Arial" w:eastAsia="Arial" w:hAnsi="Arial"/>
                      <w:color w:val="ff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tcMar>
                    <w:top w:w="15.0" w:type="dxa"/>
                    <w:left w:w="15.0" w:type="dxa"/>
                    <w:bottom w:w="15.0" w:type="dxa"/>
                    <w:right w:w="15.0" w:type="dxa"/>
                  </w:tcMar>
                </w:tcPr>
                <w:p w:rsidR="00000000" w:rsidDel="00000000" w:rsidP="00000000" w:rsidRDefault="00000000" w:rsidRPr="00000000" w14:paraId="000000E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Arial" w:cs="Arial" w:eastAsia="Arial" w:hAnsi="Arial"/>
                      <w:color w:val="002060"/>
                      <w:sz w:val="19"/>
                      <w:szCs w:val="19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tcMar>
                    <w:top w:w="15.0" w:type="dxa"/>
                    <w:left w:w="15.0" w:type="dxa"/>
                    <w:bottom w:w="15.0" w:type="dxa"/>
                    <w:right w:w="15.0" w:type="dxa"/>
                  </w:tcMar>
                </w:tcPr>
                <w:p w:rsidR="00000000" w:rsidDel="00000000" w:rsidP="00000000" w:rsidRDefault="00000000" w:rsidRPr="00000000" w14:paraId="000000E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right"/>
                    <w:rPr>
                      <w:rFonts w:ascii="Arial" w:cs="Arial" w:eastAsia="Arial" w:hAnsi="Arial"/>
                      <w:color w:val="00206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shd w:fill="ffffff" w:val="clear"/>
                  <w:tcMar>
                    <w:top w:w="15.0" w:type="dxa"/>
                    <w:left w:w="15.0" w:type="dxa"/>
                    <w:bottom w:w="15.0" w:type="dxa"/>
                    <w:right w:w="15.0" w:type="dxa"/>
                  </w:tcMar>
                </w:tcPr>
                <w:p w:rsidR="00000000" w:rsidDel="00000000" w:rsidP="00000000" w:rsidRDefault="00000000" w:rsidRPr="00000000" w14:paraId="000000E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Arial" w:cs="Arial" w:eastAsia="Arial" w:hAnsi="Arial"/>
                      <w:color w:val="ff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tcMar>
                    <w:top w:w="15.0" w:type="dxa"/>
                    <w:left w:w="15.0" w:type="dxa"/>
                    <w:bottom w:w="15.0" w:type="dxa"/>
                    <w:right w:w="15.0" w:type="dxa"/>
                  </w:tcMar>
                </w:tcPr>
                <w:p w:rsidR="00000000" w:rsidDel="00000000" w:rsidP="00000000" w:rsidRDefault="00000000" w:rsidRPr="00000000" w14:paraId="000000E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right"/>
                    <w:rPr>
                      <w:rFonts w:ascii="Arial" w:cs="Arial" w:eastAsia="Arial" w:hAnsi="Arial"/>
                      <w:color w:val="002060"/>
                      <w:sz w:val="19"/>
                      <w:szCs w:val="19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3"/>
                  <w:shd w:fill="ffffff" w:val="clear"/>
                  <w:tcMar>
                    <w:top w:w="15.0" w:type="dxa"/>
                    <w:left w:w="15.0" w:type="dxa"/>
                    <w:bottom w:w="15.0" w:type="dxa"/>
                    <w:right w:w="15.0" w:type="dxa"/>
                  </w:tcMar>
                </w:tcPr>
                <w:p w:rsidR="00000000" w:rsidDel="00000000" w:rsidP="00000000" w:rsidRDefault="00000000" w:rsidRPr="00000000" w14:paraId="000000F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Arial" w:cs="Arial" w:eastAsia="Arial" w:hAnsi="Arial"/>
                      <w:color w:val="ff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fffff" w:val="clear"/>
                  <w:tcMar>
                    <w:top w:w="15.0" w:type="dxa"/>
                    <w:left w:w="15.0" w:type="dxa"/>
                    <w:bottom w:w="15.0" w:type="dxa"/>
                    <w:right w:w="15.0" w:type="dxa"/>
                  </w:tcMar>
                </w:tcPr>
                <w:p w:rsidR="00000000" w:rsidDel="00000000" w:rsidP="00000000" w:rsidRDefault="00000000" w:rsidRPr="00000000" w14:paraId="000000F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Arial" w:cs="Arial" w:eastAsia="Arial" w:hAnsi="Arial"/>
                      <w:color w:val="ff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shd w:fill="ffffff" w:val="clear"/>
                  <w:tcMar>
                    <w:top w:w="15.0" w:type="dxa"/>
                    <w:left w:w="15.0" w:type="dxa"/>
                    <w:bottom w:w="15.0" w:type="dxa"/>
                    <w:right w:w="15.0" w:type="dxa"/>
                  </w:tcMar>
                </w:tcPr>
                <w:p w:rsidR="00000000" w:rsidDel="00000000" w:rsidP="00000000" w:rsidRDefault="00000000" w:rsidRPr="00000000" w14:paraId="000000F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Arial" w:cs="Arial" w:eastAsia="Arial" w:hAnsi="Arial"/>
                      <w:color w:val="002060"/>
                      <w:sz w:val="19"/>
                      <w:szCs w:val="19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LEDEN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u w:val="single"/>
                <w:rtl w:val="0"/>
              </w:rPr>
              <w:t xml:space="preserve">Písně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zpěv písní dle výběru učitele přiměřených věku a hlasovému rozsahu žáků</w:t>
            </w:r>
          </w:p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doprovází písně hrou na tělo</w:t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u w:val="single"/>
                <w:rtl w:val="0"/>
              </w:rPr>
              <w:t xml:space="preserve">Poslech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poslech skladeb dle výběru učitele</w:t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(např. W. A. Mozart – kouzelná flétna, A. Vivaldi – Čtvero ročních období – Zima)</w:t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u w:val="single"/>
                <w:rtl w:val="0"/>
              </w:rPr>
              <w:t xml:space="preserve">Hudební teorie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stupnice C dur – zápis do notové osnovy</w:t>
            </w:r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rytmické doprovody 2/4,3/4 t.</w:t>
            </w:r>
          </w:p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dvoudobá chůze a tanec v průpletu, přísuvný krok</w:t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pohyb podle hudby vpřed, vzad, na místě (3/4 taktu)</w:t>
            </w:r>
          </w:p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pomlka půlová</w:t>
            </w:r>
          </w:p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ÚNOR</w:t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u w:val="single"/>
                <w:rtl w:val="0"/>
              </w:rPr>
              <w:t xml:space="preserve">Písně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zpěv písní dle výběru učitele přiměřených věku a hlasovému rozsahu žáků</w:t>
            </w:r>
          </w:p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doprovází písně pohybem </w:t>
            </w:r>
          </w:p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u w:val="single"/>
                <w:rtl w:val="0"/>
              </w:rPr>
              <w:t xml:space="preserve">Poslech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poslech skladeb dle výběru učitele (např. A Dvořák – Můj domov, J. Stivín – Sangvinici, B. Smetana – Z českých luhů a hájů)</w:t>
            </w:r>
          </w:p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u w:val="single"/>
                <w:rtl w:val="0"/>
              </w:rPr>
              <w:t xml:space="preserve">Hudební teorie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vokální a instrumentální hry</w:t>
            </w:r>
          </w:p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pohyb podle hudby vyjádření melodie</w:t>
            </w:r>
          </w:p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-seznamuje se se strunnými nástroji   </w:t>
            </w:r>
          </w:p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BŘEZEN</w:t>
            </w:r>
          </w:p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u w:val="single"/>
                <w:rtl w:val="0"/>
              </w:rPr>
              <w:t xml:space="preserve">Písně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zpěv písní dle výběru učitele přiměřených věku a hlasovému rozsahu žáků</w:t>
            </w:r>
          </w:p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u w:val="single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doprovází písně hrou na dětské rytmické hudební nástroje </w:t>
            </w:r>
          </w:p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u w:val="single"/>
                <w:rtl w:val="0"/>
              </w:rPr>
              <w:t xml:space="preserve">Poslech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poslech skladeb dle výběru učitele (např. F. Chopin – Polonéza, A. Honegger - Pacifik 231)</w:t>
            </w:r>
          </w:p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u w:val="single"/>
                <w:rtl w:val="0"/>
              </w:rPr>
              <w:t xml:space="preserve">Hudební teorie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ukolébavka; žánr taneční</w:t>
            </w:r>
          </w:p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seznamuje se s dechovými nástroji </w:t>
            </w:r>
          </w:p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DUBEN</w:t>
            </w:r>
          </w:p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u w:val="single"/>
                <w:rtl w:val="0"/>
              </w:rPr>
              <w:t xml:space="preserve">Písně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zpěv písní dle výběru učitele přiměřených věku a hlasovému rozsahu žák</w:t>
            </w:r>
          </w:p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doprovází písně hrou na tělo</w:t>
            </w:r>
          </w:p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u w:val="single"/>
                <w:rtl w:val="0"/>
              </w:rPr>
              <w:t xml:space="preserve">Poslech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poslech skladeb dle výběru učitele (např. L. Beethoven – Symfonie č. 5, B. Smetana – Prodaná nevěsta, A. Dvořák – Slovanský tanec č. 15)</w:t>
            </w:r>
          </w:p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u w:val="single"/>
                <w:rtl w:val="0"/>
              </w:rPr>
              <w:t xml:space="preserve">Hudební teorie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orchestr - sólo</w:t>
            </w:r>
          </w:p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seznamuje se s bicími nástroji </w:t>
            </w:r>
          </w:p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seznamuje se s hudebními žánry </w:t>
            </w:r>
          </w:p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(pop, rock...)</w:t>
            </w:r>
          </w:p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KVĚTEN</w:t>
            </w:r>
          </w:p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u w:val="single"/>
                <w:rtl w:val="0"/>
              </w:rPr>
              <w:t xml:space="preserve">Písně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zpěv písní dle výběru učitele přiměřených věku a hlasovému rozsahu žáků</w:t>
            </w:r>
          </w:p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u w:val="single"/>
                <w:rtl w:val="0"/>
              </w:rPr>
              <w:t xml:space="preserve">Poslech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poslech skladeb dle výběru učitele (např. S Prokofjev – Popelka, Hodinová scéna, L. Janáček – Loudavé spřežení)</w:t>
            </w:r>
          </w:p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u w:val="single"/>
                <w:rtl w:val="0"/>
              </w:rPr>
              <w:t xml:space="preserve">Hudební teorie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počátky jednoduchého dvojhlasu</w:t>
            </w:r>
          </w:p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hudba slavnostní – fanfáry</w:t>
            </w:r>
          </w:p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seznamuje se s hudebními žánry</w:t>
            </w:r>
          </w:p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ČERVEN</w:t>
            </w:r>
          </w:p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u w:val="single"/>
                <w:rtl w:val="0"/>
              </w:rPr>
              <w:t xml:space="preserve">Písně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zpěv písní dle výběru učitele přiměřených věku a hlasovému rozsahu žáků</w:t>
            </w:r>
          </w:p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u w:val="single"/>
                <w:rtl w:val="0"/>
              </w:rPr>
              <w:t xml:space="preserve">Poslech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poslech skladeb dle výběru učitele (např. B. Smetana, A. Dvořák, B. Martinů – ukázky ze skladeb)</w:t>
            </w:r>
          </w:p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u w:val="single"/>
                <w:rtl w:val="0"/>
              </w:rPr>
              <w:t xml:space="preserve">Hudební teorie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opakuje noty, pomlky, druhy nástrojů </w:t>
            </w:r>
          </w:p>
        </w:tc>
        <w:tc>
          <w:tcPr/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kompetence k řešení problémů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– žák při zadání úkolu rozpozná problém a hledá nejvhodnější způsob řešení z navržených možností a obhájí je</w:t>
            </w:r>
          </w:p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– žák se spolupodílí na vytvoření pravidel spolupráce, dodržuje je a upozorňuje na jejich porušení</w:t>
            </w:r>
          </w:p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- při impulzivním jednání se omluví za to, nezvládnul své emoce </w:t>
            </w:r>
          </w:p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kompetence pracovn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í – požádá o pomoc učitele či spolužáka, pokud potřebuje</w:t>
            </w:r>
          </w:p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kompetence k učení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– žák se aktivně účastní výuky, zajímá se o možnosti získání dalších poznatků</w:t>
            </w:r>
          </w:p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kompetence komunikativní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– používá správné termíny a výrazy, vysvětlí ostatním termín, který použil v případě, že mu neporozuměli, dokončuje věty </w:t>
            </w:r>
          </w:p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kompetence občanské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– dodržuje vytvořená pravidla soužití</w:t>
            </w:r>
          </w:p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navštěvuje kulturní události obce</w:t>
            </w:r>
          </w:p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–</w:t>
            </w:r>
          </w:p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v sebehodnocení si s učitelem volí cíl pro své zlepšení  </w:t>
            </w:r>
          </w:p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kompetence pracovn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í –</w:t>
            </w:r>
          </w:p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pod vedením učitele dodržuje bezpečnostní pravidla při plnění zadaného úkolu, pracuje tak, aby chránil zdraví své i ostatních</w:t>
            </w:r>
          </w:p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kompetence k učení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s pomocí učitele stanoví základní podmínky a kritéria, za kterých bude jeho práce úspěšná</w:t>
            </w:r>
          </w:p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kompetence komunikativní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–</w:t>
            </w:r>
          </w:p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k vyjádření používá grafických znázornění a symbolických prostředků</w:t>
            </w:r>
          </w:p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kompetence k řešení problémů-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žák využije výsledná řešení v konkrétních situacích</w:t>
            </w:r>
          </w:p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–</w:t>
            </w:r>
          </w:p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vyslovuje ocenění práce druhých, děkuje za uznání, raduje se z práce ostatních</w:t>
            </w:r>
          </w:p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kompetence pracovn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í -</w:t>
            </w:r>
          </w:p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rozpozná kvalitní práci a dobře splněný úkol</w:t>
            </w:r>
          </w:p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kompetence komunikativní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–</w:t>
            </w:r>
          </w:p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různými způsoby vyjádří své názory, pocity, a myšlenky</w:t>
            </w:r>
          </w:p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kompetence občanské-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žák se nevyjadřuje pohrdlivě nebo s předsudky o skupinách lidí nebo jejich příslušnících, o jejich práci a kulturním dědictví </w:t>
            </w:r>
          </w:p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kompetence pracovn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í -</w:t>
            </w:r>
          </w:p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žák si naplánuje s pomocí učitele dílčí činnosti nutné ke splnění úkolu, stanoví si s učitelem čas na realizaci, posoudí, zda měl dostatek času a jak jej využil</w:t>
            </w:r>
          </w:p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kompetence komunikativní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–</w:t>
            </w:r>
          </w:p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žák v různých zdrojích, které má k dispozici, vyhledává informace, které souvisejí s tématem</w:t>
            </w:r>
          </w:p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kompetence občanské 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uznává kulturní dědictví prostoru, kde žije, neničí památky, výzdobu, užitné objekty</w:t>
            </w:r>
          </w:p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kompetence pracovn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í - </w:t>
            </w:r>
          </w:p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různými formami (exkurze, film, beseda, koncert, hudebně naučný pořad….) se seznamuje s různými profesemi, cíleně ujasňuje představu o reálné podobě jejich budoucího povolání</w:t>
            </w:r>
          </w:p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kompetence komunikativní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–</w:t>
            </w:r>
          </w:p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rozlišuje, zda mluví se svým vrstevníkem nebo s dospělým, sleduje chování posluchačů a reaguje na ně</w:t>
            </w:r>
          </w:p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mluví nahlas a zřetelně</w:t>
            </w:r>
          </w:p>
        </w:tc>
        <w:tc>
          <w:tcPr/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V průběhu jednotlivých hodin a jejich struktuře bude využito:</w:t>
            </w:r>
          </w:p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audiovizuální techniky</w:t>
            </w:r>
          </w:p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CD přehrávače</w:t>
            </w:r>
          </w:p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interaktivní tabule</w:t>
            </w:r>
          </w:p>
          <w:p w:rsidR="00000000" w:rsidDel="00000000" w:rsidP="00000000" w:rsidRDefault="00000000" w:rsidRPr="00000000" w14:paraId="000001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rytmické doprovodné nástroje</w:t>
            </w:r>
          </w:p>
          <w:p w:rsidR="00000000" w:rsidDel="00000000" w:rsidP="00000000" w:rsidRDefault="00000000" w:rsidRPr="00000000" w14:paraId="000001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návštěva hudebně výchovných koncertů</w:t>
            </w:r>
          </w:p>
          <w:p w:rsidR="00000000" w:rsidDel="00000000" w:rsidP="00000000" w:rsidRDefault="00000000" w:rsidRPr="00000000" w14:paraId="000001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akce školy – Vánoční zpívání koled  - na schodech budovy</w:t>
            </w:r>
          </w:p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předvedení hry na hudební nástroje žáků navštěvujících ZUŠ</w:t>
            </w:r>
          </w:p>
          <w:p w:rsidR="00000000" w:rsidDel="00000000" w:rsidP="00000000" w:rsidRDefault="00000000" w:rsidRPr="00000000" w14:paraId="000001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skupinové tanečky v prostorách tělocvičny</w:t>
            </w:r>
          </w:p>
          <w:p w:rsidR="00000000" w:rsidDel="00000000" w:rsidP="00000000" w:rsidRDefault="00000000" w:rsidRPr="00000000" w14:paraId="000001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v hodinách TV aerobik a gymnastické vyjádření hudby se stuhou i bez náčiní</w:t>
            </w:r>
          </w:p>
          <w:p w:rsidR="00000000" w:rsidDel="00000000" w:rsidP="00000000" w:rsidRDefault="00000000" w:rsidRPr="00000000" w14:paraId="000001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skupinové práce </w:t>
            </w:r>
          </w:p>
          <w:p w:rsidR="00000000" w:rsidDel="00000000" w:rsidP="00000000" w:rsidRDefault="00000000" w:rsidRPr="00000000" w14:paraId="000001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hra dle hudební notové předlohy na xylofon</w:t>
            </w:r>
          </w:p>
          <w:p w:rsidR="00000000" w:rsidDel="00000000" w:rsidP="00000000" w:rsidRDefault="00000000" w:rsidRPr="00000000" w14:paraId="000002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činnostní učení</w:t>
            </w:r>
          </w:p>
          <w:p w:rsidR="00000000" w:rsidDel="00000000" w:rsidP="00000000" w:rsidRDefault="00000000" w:rsidRPr="00000000" w14:paraId="000002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obrazový materiál podobizen skladatelů</w:t>
            </w:r>
          </w:p>
          <w:p w:rsidR="00000000" w:rsidDel="00000000" w:rsidP="00000000" w:rsidRDefault="00000000" w:rsidRPr="00000000" w14:paraId="000002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obrazový materiál hudebních i doprovodných nástrojů</w:t>
            </w:r>
          </w:p>
          <w:p w:rsidR="00000000" w:rsidDel="00000000" w:rsidP="00000000" w:rsidRDefault="00000000" w:rsidRPr="00000000" w14:paraId="000002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MKV – etnický původ</w:t>
            </w:r>
          </w:p>
        </w:tc>
      </w:tr>
    </w:tbl>
    <w:p w:rsidR="00000000" w:rsidDel="00000000" w:rsidP="00000000" w:rsidRDefault="00000000" w:rsidRPr="00000000" w14:paraId="000002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360" w:right="20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ZHVgjmdiFs9p9h3rdP7QhMcQ7w==">AMUW2mUwOXINllu+DBKRn7a5n3NFc8nFmXLMjOyKJ1w6u+2WIZKwY5E4V0ZQuYqeGSMPJLMTp+XNx+O0xc/LYTQAU73Xf3vz1J234mYuI5BdY8W6pA2OWhGG4LSK9nR6XN3fHBwNJ06Q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2020-09-02T11:31:00Z</dcterms:created>
  <dc:creator>Místnost 68</dc:creator>
</cp:coreProperties>
</file>